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4D394963"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Environmental Chemistry I</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76B2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23641">
                    <w:rPr>
                      <w:rFonts w:asciiTheme="majorHAnsi" w:hAnsiTheme="majorHAnsi" w:cs="Arial"/>
                      <w:b/>
                      <w:sz w:val="18"/>
                      <w:szCs w:val="18"/>
                    </w:rPr>
                  </w:r>
                  <w:r w:rsidR="0092364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357DD8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17B402B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D9F44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43535CC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420D2F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3C7FFF0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87.93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0EF054F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55398D0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132.93</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513880C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applied chemistry  </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40EBDA7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Acquiring basic knowledge and analytical laboratory skills for analyzing environmental elements, namely water and the atmosphere as parts of the environment.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07710BD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Introduction to the composition of water and atmosphere, pollutants in water and atmosphere, and their sampling and determination. After completing and successfully passing the course, students should master basic knowledge about the environment, primarily about the atmosphere and waters, as well as about the pollution in them.</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1DA413F" w14:textId="7777777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Classification of environmental pollutants. Types of physical, chemical and biological pollutants. Division of pollutants in the atmosphere. Air purification from solid particles. Natural compounds - atmospheric pollutants. Air pollution. Electromagnetic radiation. Groups of pollutants. Pathways of entry of pollutants into the ecosystem. Main dissolved components in rivers. Energy cycle. Radiation and energy balance. Variations in solar radiation - atmospheric and ocean heat exchange. Greenhouse effect and ozone hole. CO2 and its importance in the atmosphere. Impact of aerosols and their division. Primary aerosols. Secondary aerosols. Sulfate aerosols, soot aerosols, organic carbon aerosols, biomass combustion aerosols. Secondary aerosols. Nitrate aerosols, mineral dust aerosols, sea salt aerosols. Cl-, Na+, Mg2+, Ca2+ and K+ in rain. Sulfates in rain-atmospheric cycle S. Atmospheric cycle N. Atmospheric cycle of ammonia circulation. Carbon cycle, C. Phosphorus cycle, P. Water cycle (hydrological cycle).</w:t>
            </w:r>
          </w:p>
          <w:p w14:paraId="11EC0D1F" w14:textId="7D05D43E"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Send feedback</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C5B5E4" w14:textId="7777777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Lectures, laboratory exercises and consultations. The lectures will present the material provided for in the curriculum of this course. The written knowledge assessment includes test I and test II, which cover the material covered during the course. The final knowledge assessment refers to the entire material covered through the theoretical basis.</w:t>
            </w:r>
          </w:p>
          <w:p w14:paraId="29DFBC2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In order to efficiently deliver the course and achieve the expected course objectives and student competencies at the end of the semester, the course uses various teaching methods:</w:t>
            </w:r>
          </w:p>
          <w:p w14:paraId="0741F339"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lectures using multimedia tools, active learning techniques and active student participation and discussions;</w:t>
            </w:r>
          </w:p>
          <w:p w14:paraId="081C770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practical exercises</w:t>
            </w:r>
          </w:p>
          <w:p w14:paraId="74873F94" w14:textId="470EE630"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53F24BD" w14:textId="316893B6"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After half of the semester, students take a written test I, which covers the topics covered in the lectures until then. After the end of the semester, students take a written test I</w:t>
            </w:r>
            <w:r w:rsidR="00EE2AF2">
              <w:rPr>
                <w:rFonts w:asciiTheme="majorHAnsi" w:hAnsiTheme="majorHAnsi" w:cs="Arial"/>
                <w:b/>
                <w:sz w:val="18"/>
                <w:szCs w:val="18"/>
              </w:rPr>
              <w:t>I</w:t>
            </w:r>
            <w:r w:rsidR="00D16A5A" w:rsidRPr="00D16A5A">
              <w:rPr>
                <w:rFonts w:asciiTheme="majorHAnsi" w:hAnsiTheme="majorHAnsi" w:cs="Arial"/>
                <w:b/>
                <w:sz w:val="18"/>
                <w:szCs w:val="18"/>
              </w:rPr>
              <w:t>, which includes the covered topics from the lectures from the second part of the semester. Both tests are taken by all students in the subject at the same time, which achieves the uniformity of the level of knowledge being tested, as well as the conditions under which the student takes the exam and can obtain from 11 to 21 points. Also, the student can get from 3 to 5 points for the activity in the experimental exercises. The student is obliged to pass the laboratory exercises, which are evaluated from 6 to 10 points, through a written colloquium organized in the last week of the semester. Make-up and additional make-up exams are taken according to the same principle as the final exam. Students are required to attend lectures and laboratory exercises. Students are required to complete all exercises. The teacher and assistant will monitor the attendance of each student on a specially created form throughout the semester. The final exam is oral/written. Students who have passed both partial exams and fulfilled other pre-exam requirements have the right to take the final exam. The maximum number of points a student can achieve on the final exam is 45. In order to pass the course, a student must achieve a minimum of 55 cumulative points, of which a minimum of 24 points on the final oral exam.The final success of the student is expressed by a numerical, descriptive or letter grade, according to the following scale:</w:t>
            </w:r>
          </w:p>
          <w:p w14:paraId="22714632"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does not satisfy             F </w:t>
            </w:r>
          </w:p>
          <w:p w14:paraId="6E9EB65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55-64                                      6 (six)                enough                              E</w:t>
            </w:r>
          </w:p>
          <w:p w14:paraId="59C62110"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65-74                                      7(seven)           good                                   D</w:t>
            </w:r>
          </w:p>
          <w:p w14:paraId="20EF4D9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C </w:t>
            </w:r>
          </w:p>
          <w:p w14:paraId="1780471D"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outstanding                    B </w:t>
            </w:r>
          </w:p>
          <w:p w14:paraId="2F34F249"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95-100                                   10(ten)              excellent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74B1A656" w14:textId="7A98B824"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Mandatory colloquium          </w:t>
            </w:r>
            <w:r w:rsidR="00AE7BEB">
              <w:rPr>
                <w:rFonts w:asciiTheme="majorHAnsi" w:hAnsiTheme="majorHAnsi" w:cs="Arial"/>
                <w:b/>
                <w:sz w:val="18"/>
                <w:szCs w:val="18"/>
              </w:rPr>
              <w:t xml:space="preserve">  </w:t>
            </w:r>
            <w:r w:rsidRPr="00D16A5A">
              <w:rPr>
                <w:rFonts w:asciiTheme="majorHAnsi" w:hAnsiTheme="majorHAnsi" w:cs="Arial"/>
                <w:b/>
                <w:sz w:val="18"/>
                <w:szCs w:val="18"/>
              </w:rPr>
              <w:t xml:space="preserve"> </w:t>
            </w:r>
            <w:r w:rsidR="00AE7BEB">
              <w:rPr>
                <w:rFonts w:asciiTheme="majorHAnsi" w:hAnsiTheme="majorHAnsi" w:cs="Arial"/>
                <w:b/>
                <w:sz w:val="18"/>
                <w:szCs w:val="18"/>
              </w:rPr>
              <w:t>6</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w:t>
            </w:r>
          </w:p>
          <w:p w14:paraId="5E472E12" w14:textId="06311DD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AE7BEB">
              <w:rPr>
                <w:rFonts w:asciiTheme="majorHAnsi" w:hAnsiTheme="majorHAnsi" w:cs="Arial"/>
                <w:b/>
                <w:sz w:val="18"/>
                <w:szCs w:val="18"/>
              </w:rPr>
              <w:t>24</w:t>
            </w:r>
            <w:r w:rsidRPr="00D16A5A">
              <w:rPr>
                <w:rFonts w:asciiTheme="majorHAnsi" w:hAnsiTheme="majorHAnsi" w:cs="Arial"/>
                <w:b/>
                <w:sz w:val="18"/>
                <w:szCs w:val="18"/>
              </w:rPr>
              <w:t xml:space="preserve">          </w:t>
            </w:r>
            <w:r w:rsidR="00AE7BEB">
              <w:rPr>
                <w:rFonts w:asciiTheme="majorHAnsi" w:hAnsiTheme="majorHAnsi" w:cs="Arial"/>
                <w:b/>
                <w:sz w:val="18"/>
                <w:szCs w:val="18"/>
              </w:rPr>
              <w:t>45</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722370" w14:textId="77777777"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1. Selimbašić V, Cipurković A, Crnkić A,Hemija i zaštita okoline,OFF-SET,Tuzla,2014.</w:t>
            </w:r>
          </w:p>
          <w:p w14:paraId="7A1C5EE4" w14:textId="23C659C1"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E1275D" w14:textId="22DF3C95"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7BEB" w:rsidRPr="00AE7BEB">
              <w:rPr>
                <w:rFonts w:asciiTheme="majorHAnsi" w:hAnsiTheme="majorHAnsi" w:cs="Arial"/>
                <w:b/>
                <w:sz w:val="18"/>
                <w:szCs w:val="18"/>
              </w:rPr>
              <w:t>1. T.,Muhić-Šarac,Uvod u hemiju životne sredine,PMF,Sarajevo 2011</w:t>
            </w:r>
          </w:p>
          <w:p w14:paraId="17FCC71E" w14:textId="13B00377"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Environmental &amp; pollution science; Ian L. Pepper, Charles P. Gerba, Mark L. Brusseau 2006 Edition: 2nd ed Elsevier 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1994B" w14:textId="77777777" w:rsidR="00923641" w:rsidRDefault="00923641">
      <w:pPr>
        <w:spacing w:line="240" w:lineRule="auto"/>
      </w:pPr>
      <w:r>
        <w:separator/>
      </w:r>
    </w:p>
  </w:endnote>
  <w:endnote w:type="continuationSeparator" w:id="0">
    <w:p w14:paraId="003E82CB" w14:textId="77777777" w:rsidR="00923641" w:rsidRDefault="009236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5BBE9F47"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82F1E">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382F1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382F1E">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A0281" w14:textId="77777777" w:rsidR="00923641" w:rsidRDefault="00923641">
      <w:pPr>
        <w:spacing w:after="0"/>
      </w:pPr>
      <w:r>
        <w:separator/>
      </w:r>
    </w:p>
  </w:footnote>
  <w:footnote w:type="continuationSeparator" w:id="0">
    <w:p w14:paraId="4898704A" w14:textId="77777777" w:rsidR="00923641" w:rsidRDefault="009236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1E"/>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07AC7"/>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40EC"/>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0BE1"/>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021"/>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23641"/>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F03AA"/>
    <w:rsid w:val="00AF1714"/>
    <w:rsid w:val="00AF2213"/>
    <w:rsid w:val="00AF2E97"/>
    <w:rsid w:val="00B0509B"/>
    <w:rsid w:val="00B055AB"/>
    <w:rsid w:val="00B22657"/>
    <w:rsid w:val="00B26874"/>
    <w:rsid w:val="00B37D1D"/>
    <w:rsid w:val="00B541C6"/>
    <w:rsid w:val="00B5797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AF2"/>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8B901-60B3-4C12-867E-8B77E4E99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Bengi74</dc:creator>
  <cp:lastModifiedBy>Nadira</cp:lastModifiedBy>
  <cp:revision>2</cp:revision>
  <cp:lastPrinted>2024-03-25T13:56:00Z</cp:lastPrinted>
  <dcterms:created xsi:type="dcterms:W3CDTF">2026-03-17T10:33:00Z</dcterms:created>
  <dcterms:modified xsi:type="dcterms:W3CDTF">2026-03-17T10:33:00Z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